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4">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5">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6">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7">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19">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1C">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1D">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1E">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1F">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1">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2">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5">
      <w:pPr>
        <w:numPr>
          <w:ilvl w:val="0"/>
          <w:numId w:val="1"/>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Rozhodnutí je příloha Závazné parametry řešení projektu, které jsou schváleným návrhem projektu ve smyslu § 9 odst. 2 ZPVV, a obsahují označení hlavního příjemce a dalších účastníků, název a předmět řešení projektu, jméno, příjmení a případné akademické tituly a vědecké hodnosti řešitele, časový plán řešení projektu včetně termínu zahájení a ukončení řešení projektu, cíle projektu, deklarované výsledky projektu. Závazné parametry řešení projektu rovněž obsahují tabulku uznaných nákladů projektu, která obsahuje jejich rozdělení na jednotlivé roky řešení projektu, intenzitu podpory z uznaných nákladů a s tím související celková výše poskytované účelové podpory, včetně jejího rozdělení mezi hlavního příjemce a další účastníky projektu.</w:t>
      </w:r>
    </w:p>
    <w:p w:rsidR="00000000" w:rsidDel="00000000" w:rsidP="00000000" w:rsidRDefault="00000000" w:rsidRPr="00000000" w14:paraId="00000026">
      <w:pPr>
        <w:numPr>
          <w:ilvl w:val="0"/>
          <w:numId w:val="1"/>
        </w:numPr>
        <w:tabs>
          <w:tab w:val="left" w:pos="567"/>
          <w:tab w:val="left"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7">
      <w:pPr>
        <w:numPr>
          <w:ilvl w:val="0"/>
          <w:numId w:val="1"/>
        </w:numPr>
        <w:tabs>
          <w:tab w:val="left" w:pos="567"/>
          <w:tab w:val="left"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gjdgxs" w:id="0"/>
    <w:bookmarkEnd w:id="0"/>
    <w:p w:rsidR="00000000" w:rsidDel="00000000" w:rsidP="00000000" w:rsidRDefault="00000000" w:rsidRPr="00000000" w14:paraId="0000002A">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2B">
      <w:pPr>
        <w:numPr>
          <w:ilvl w:val="0"/>
          <w:numId w:val="6"/>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2F">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1">
      <w:pPr>
        <w:numPr>
          <w:ilvl w:val="0"/>
          <w:numId w:val="6"/>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5" w:right="-182" w:hanging="425"/>
      </w:pPr>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850.3937007874017" w:right="-182" w:firstLine="0"/>
        <w:jc w:val="both"/>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4">
      <w:pPr>
        <w:numPr>
          <w:ilvl w:val="0"/>
          <w:numId w:val="6"/>
        </w:numPr>
        <w:ind w:left="425" w:hanging="425"/>
        <w:rPr>
          <w:rFonts w:ascii="Calibri" w:cs="Calibri" w:eastAsia="Calibri" w:hAnsi="Calibri"/>
        </w:rPr>
      </w:pPr>
      <w:bookmarkStart w:colFirst="0" w:colLast="0" w:name="_dc6vp44uq1tu" w:id="1"/>
      <w:bookmarkEnd w:id="1"/>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14 Všeobecných podmínek se doplňuje o nový odst. 5, který zní:</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Rule="auto"/>
        <w:ind w:left="566.9291338582675" w:right="-182" w:firstLine="283.4645669291342"/>
        <w:rPr>
          <w:rFonts w:ascii="Calibri" w:cs="Calibri" w:eastAsia="Calibri" w:hAnsi="Calibri"/>
        </w:rPr>
      </w:pPr>
      <w:r w:rsidDel="00000000" w:rsidR="00000000" w:rsidRPr="00000000">
        <w:rPr>
          <w:rFonts w:ascii="Calibri" w:cs="Calibri" w:eastAsia="Calibri" w:hAnsi="Calibri"/>
          <w:rtl w:val="0"/>
        </w:rPr>
        <w:t xml:space="preserve"> „Smlouva o využití výsledku musí být uzavřena v anglickém jazyce.“</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76" w:lineRule="auto"/>
        <w:ind w:left="425" w:right="-182" w:hanging="425"/>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855" w:right="-182" w:hanging="4.6062992125982305"/>
        <w:jc w:val="both"/>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39">
      <w:pPr>
        <w:numPr>
          <w:ilvl w:val="0"/>
          <w:numId w:val="6"/>
        </w:numPr>
        <w:spacing w:after="120" w:before="0" w:lineRule="auto"/>
        <w:ind w:left="425" w:right="-182"/>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3A">
      <w:pPr>
        <w:numPr>
          <w:ilvl w:val="0"/>
          <w:numId w:val="7"/>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3B">
      <w:pPr>
        <w:numPr>
          <w:ilvl w:val="0"/>
          <w:numId w:val="7"/>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425" w:right="-182" w:hanging="425"/>
        <w:jc w:val="both"/>
      </w:pPr>
      <w:r w:rsidDel="00000000" w:rsidR="00000000" w:rsidRPr="00000000">
        <w:rPr>
          <w:rFonts w:ascii="Calibri" w:cs="Calibri" w:eastAsia="Calibri" w:hAnsi="Calibri"/>
          <w:rtl w:val="0"/>
        </w:rPr>
        <w:t xml:space="preserve">Příjemce je povinen dodržovat zásadu „významně nepoškozovat” ve smyslu článku 17 Nařízení Evropského parlamentu a Rady (EU) 2020/852 ze dne 18. června 2020 o zřízení rámce pro usnadnění udržitelných investic a o změně nařízení (EU) 2019/2088.</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425" w:right="-182" w:hanging="425"/>
        <w:jc w:val="both"/>
      </w:pPr>
      <w:r w:rsidDel="00000000" w:rsidR="00000000" w:rsidRPr="00000000">
        <w:rPr>
          <w:rFonts w:ascii="Calibri" w:cs="Calibri" w:eastAsia="Calibri" w:hAnsi="Calibri"/>
          <w:rtl w:val="0"/>
        </w:rPr>
        <w:t xml:space="preserve">Čl. 4 odst. 2 písm. c) Všeobecných podmínek se mění takto:</w:t>
      </w:r>
    </w:p>
    <w:p w:rsidR="00000000" w:rsidDel="00000000" w:rsidP="00000000" w:rsidRDefault="00000000" w:rsidRPr="00000000" w14:paraId="0000003E">
      <w:pPr>
        <w:spacing w:after="240" w:before="240" w:line="276" w:lineRule="auto"/>
        <w:ind w:left="850.3937007874017" w:right="-182.5984251968498"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425" w:right="-182" w:hanging="425"/>
        <w:jc w:val="both"/>
      </w:pPr>
      <w:r w:rsidDel="00000000" w:rsidR="00000000" w:rsidRPr="00000000">
        <w:rPr>
          <w:rFonts w:ascii="Calibri" w:cs="Calibri" w:eastAsia="Calibri" w:hAnsi="Calibri"/>
          <w:rtl w:val="0"/>
        </w:rPr>
        <w:t xml:space="preserve">Příjemce je povinen učinit veškerá opatření, aby nevznikl střet zájmů ve smyslu článku 61 Nařízení Evropského parlamentu a Rady (EU) 2018/1046 ze dne 18. července 2018, a pokud taková situace nastane, je povinen tuto skutečnost neprodleně oznámit poskytovateli.</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425" w:right="-182" w:hanging="425"/>
        <w:jc w:val="both"/>
      </w:pPr>
      <w:r w:rsidDel="00000000" w:rsidR="00000000" w:rsidRPr="00000000">
        <w:rPr>
          <w:rFonts w:ascii="Calibri" w:cs="Calibri" w:eastAsia="Calibri" w:hAnsi="Calibri"/>
          <w:rtl w:val="0"/>
        </w:rPr>
        <w:t xml:space="preserve">Čl. 17 odst. 8 Všeobecných podmínek se nahrazuje tímto: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850.3937007874017" w:right="-182" w:firstLine="0"/>
        <w:jc w:val="both"/>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r w:rsidDel="00000000" w:rsidR="00000000" w:rsidRPr="00000000">
        <w:rPr>
          <w:rtl w:val="0"/>
        </w:rPr>
      </w:r>
    </w:p>
    <w:p w:rsidR="00000000" w:rsidDel="00000000" w:rsidP="00000000" w:rsidRDefault="00000000" w:rsidRPr="00000000" w14:paraId="00000042">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44">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45">
      <w:pPr>
        <w:numPr>
          <w:ilvl w:val="0"/>
          <w:numId w:val="5"/>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46">
      <w:pPr>
        <w:numPr>
          <w:ilvl w:val="0"/>
          <w:numId w:val="5"/>
        </w:numPr>
        <w:tabs>
          <w:tab w:val="left" w:pos="567"/>
          <w:tab w:val="left"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numPr>
          <w:ilvl w:val="6"/>
          <w:numId w:val="2"/>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4A">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4B">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4C">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D">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30j0zll" w:id="2"/>
    <w:bookmarkEnd w:id="2"/>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before="0" w:line="240" w:lineRule="auto"/>
      <w:rPr>
        <w:rFonts w:ascii="Calibri" w:cs="Calibri" w:eastAsia="Calibri" w:hAnsi="Calibri"/>
        <w:sz w:val="16"/>
        <w:szCs w:val="16"/>
      </w:rPr>
    </w:pPr>
    <w:bookmarkStart w:colFirst="0" w:colLast="0" w:name="_1fob9te" w:id="3"/>
    <w:bookmarkEnd w:id="3"/>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536"/>
        <w:tab w:val="right"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-892171</wp:posOffset>
          </wp:positionH>
          <wp:positionV relativeFrom="paragraph">
            <wp:posOffset>-441957</wp:posOffset>
          </wp:positionV>
          <wp:extent cx="1439545" cy="143954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2">
    <w:pPr>
      <w:tabs>
        <w:tab w:val="center" w:pos="4536"/>
        <w:tab w:val="right"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53">
    <w:pPr>
      <w:tabs>
        <w:tab w:val="center" w:pos="4536"/>
        <w:tab w:val="right"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